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8BB6" w14:textId="77777777" w:rsidR="00EF765B" w:rsidRDefault="00044C30">
      <w:pPr>
        <w:spacing w:after="0" w:line="419" w:lineRule="auto"/>
        <w:ind w:left="3817" w:right="0" w:firstLine="5543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sz w:val="20"/>
        </w:rPr>
        <w:t>SECTION 23 65 00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629464" w14:textId="77777777" w:rsidR="00EF765B" w:rsidRDefault="00044C30">
      <w:pPr>
        <w:spacing w:after="276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14:paraId="57E3A0E9" w14:textId="77777777" w:rsidR="00EF765B" w:rsidRDefault="00044C30">
      <w:pPr>
        <w:pStyle w:val="Heading1"/>
        <w:tabs>
          <w:tab w:val="center" w:pos="4680"/>
          <w:tab w:val="center" w:pos="9360"/>
        </w:tabs>
        <w:ind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>EVAPORATIVE CONDENSERS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"/>
          <w:vertAlign w:val="superscript"/>
        </w:rPr>
        <w:t xml:space="preserve"> </w:t>
      </w:r>
    </w:p>
    <w:p w14:paraId="52A0E9A7" w14:textId="77777777" w:rsidR="00EF765B" w:rsidRDefault="00044C30">
      <w:pPr>
        <w:ind w:left="458" w:right="48"/>
      </w:pPr>
      <w:r>
        <w:t>PART 1 - GENERAL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3091CD" w14:textId="77777777" w:rsidR="00EF765B" w:rsidRDefault="00044C30">
      <w:pPr>
        <w:spacing w:after="63"/>
        <w:ind w:left="858" w:right="48"/>
      </w:pPr>
      <w:r>
        <w:t>1.1 RELATED DOCUMENTS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5608B1" w14:textId="77777777" w:rsidR="00EF765B" w:rsidRDefault="00044C30">
      <w:pPr>
        <w:ind w:left="1447" w:right="48" w:hanging="199"/>
      </w:pPr>
      <w:r>
        <w:t>A. Drawings and general provisions of the Contract, including General and Supplementary Conditions and Division 01 Specification Sections, apply to this Section.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983004" w14:textId="77777777" w:rsidR="00EF765B" w:rsidRDefault="00044C30">
      <w:pPr>
        <w:spacing w:after="62"/>
        <w:ind w:left="858" w:right="48"/>
      </w:pPr>
      <w:r>
        <w:t>1.2 SUMMARY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76DF66" w14:textId="77777777" w:rsidR="00EF765B" w:rsidRDefault="00044C30">
      <w:pPr>
        <w:ind w:left="1447" w:right="48" w:hanging="199"/>
      </w:pPr>
      <w:r>
        <w:t>A. This Section includes factory assembled and tested, closed circuit mechanical induced-draft vertical discharge, cross flow evaporative condenser.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650CA4" w14:textId="77777777" w:rsidR="00EF765B" w:rsidRDefault="00044C30">
      <w:pPr>
        <w:spacing w:after="62"/>
        <w:ind w:left="858" w:right="48"/>
      </w:pPr>
      <w:r>
        <w:t>1.3 SUBMITTALS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A2DF72" w14:textId="77777777" w:rsidR="00EF765B" w:rsidRDefault="00044C30">
      <w:pPr>
        <w:numPr>
          <w:ilvl w:val="0"/>
          <w:numId w:val="1"/>
        </w:numPr>
        <w:ind w:right="48" w:hanging="230"/>
      </w:pPr>
      <w:r>
        <w:t>Product Data: For each type of product indicated. Include rated capacities, pressure drop, performance curves with selected points indicated, furnished specialties, and accessories.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62F986" w14:textId="77777777" w:rsidR="00EF765B" w:rsidRDefault="00044C30">
      <w:pPr>
        <w:numPr>
          <w:ilvl w:val="0"/>
          <w:numId w:val="1"/>
        </w:numPr>
        <w:ind w:right="48" w:hanging="230"/>
      </w:pPr>
      <w:r>
        <w:t>Shop Drawings: Complete set of manufacturer's prints of evaporative equipment assemblies, control panels, sections and elevations, and unit isolation. Include the following: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D0B4CBE" w14:textId="77777777" w:rsidR="00EF765B" w:rsidRDefault="00044C30">
      <w:pPr>
        <w:numPr>
          <w:ilvl w:val="2"/>
          <w:numId w:val="2"/>
        </w:numPr>
        <w:ind w:right="48" w:hanging="200"/>
      </w:pPr>
      <w:r>
        <w:t>Assembled unit dimensions.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8BDE4D" w14:textId="77777777" w:rsidR="00EF765B" w:rsidRDefault="00044C30">
      <w:pPr>
        <w:numPr>
          <w:ilvl w:val="2"/>
          <w:numId w:val="2"/>
        </w:numPr>
        <w:ind w:right="48" w:hanging="200"/>
      </w:pPr>
      <w:r>
        <w:t>Weight and load distribution.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DC2289" w14:textId="77777777" w:rsidR="00EF765B" w:rsidRDefault="00044C30">
      <w:pPr>
        <w:numPr>
          <w:ilvl w:val="2"/>
          <w:numId w:val="2"/>
        </w:numPr>
        <w:ind w:right="48" w:hanging="200"/>
      </w:pPr>
      <w:r>
        <w:t>Required clearances for maintenance and operation.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25D78F" w14:textId="77777777" w:rsidR="00EF765B" w:rsidRDefault="00044C30">
      <w:pPr>
        <w:numPr>
          <w:ilvl w:val="2"/>
          <w:numId w:val="2"/>
        </w:numPr>
        <w:spacing w:after="62"/>
        <w:ind w:right="48" w:hanging="200"/>
      </w:pPr>
      <w:r>
        <w:t>Sizes and locations of piping and wiring connections.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CB511B" w14:textId="77777777" w:rsidR="00EF765B" w:rsidRDefault="00044C30">
      <w:pPr>
        <w:numPr>
          <w:ilvl w:val="2"/>
          <w:numId w:val="2"/>
        </w:numPr>
        <w:ind w:right="48" w:hanging="200"/>
      </w:pPr>
      <w:r>
        <w:t>Wiring Diagrams: For power, signal, and control wiring. Differentiate between manufacturer installed and field installed wiring.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F34F94" w14:textId="77777777" w:rsidR="00EF765B" w:rsidRDefault="00044C30">
      <w:pPr>
        <w:numPr>
          <w:ilvl w:val="0"/>
          <w:numId w:val="1"/>
        </w:numPr>
        <w:ind w:right="48" w:hanging="230"/>
      </w:pPr>
      <w:r>
        <w:t>Operation and Maintenance Data: Each unit to include, operation, and maintenance manual.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A40A147" w14:textId="77777777" w:rsidR="00EF765B" w:rsidRDefault="00044C30">
      <w:pPr>
        <w:ind w:left="858" w:right="48"/>
      </w:pPr>
      <w:r>
        <w:t>1.4 QUALITY ASSURANCE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7809B2" w14:textId="77777777" w:rsidR="00EF765B" w:rsidRDefault="00044C30">
      <w:pPr>
        <w:spacing w:after="62"/>
        <w:ind w:left="1258" w:right="48"/>
      </w:pPr>
      <w:r>
        <w:t>A. Verification of Performance: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18B088" w14:textId="0B222E60" w:rsidR="00EF765B" w:rsidRDefault="00044C30">
      <w:pPr>
        <w:numPr>
          <w:ilvl w:val="1"/>
          <w:numId w:val="3"/>
        </w:numPr>
        <w:ind w:right="48" w:hanging="199"/>
      </w:pPr>
      <w:r>
        <w:t xml:space="preserve">Each unit shall be designed, </w:t>
      </w:r>
      <w:proofErr w:type="gramStart"/>
      <w:r>
        <w:t>constructed</w:t>
      </w:r>
      <w:proofErr w:type="gramEnd"/>
      <w:r>
        <w:t xml:space="preserve"> and assembled in accordance with ANSI / ASHRAE 15-20</w:t>
      </w:r>
      <w:r w:rsidR="004F161C">
        <w:t>13</w:t>
      </w:r>
      <w:r>
        <w:t>, Safety Standard for Mechanical Refrigeration and ANSI/IIAR 2-20</w:t>
      </w:r>
      <w:r w:rsidR="004F161C">
        <w:t>16</w:t>
      </w:r>
      <w:r>
        <w:t xml:space="preserve"> standard for Ammonia Refrigeration.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505404" w14:textId="10810016" w:rsidR="004F161C" w:rsidRDefault="004F161C" w:rsidP="004F161C">
      <w:pPr>
        <w:numPr>
          <w:ilvl w:val="1"/>
          <w:numId w:val="3"/>
        </w:numPr>
        <w:ind w:right="48" w:hanging="199"/>
      </w:pPr>
      <w:r w:rsidRPr="004F161C">
        <w:t>Unit Sound Performance ratings shall be tested according to CTI ATC 128 standard, Test Code for Measurement of Sound from Water-Cooling Towers, by an Independent CTI-licensed sound test agency. Sound ratings shall not exceed specified ratings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32C4A985" w14:textId="77777777" w:rsidR="00EF765B" w:rsidRDefault="00044C30">
      <w:pPr>
        <w:spacing w:after="63"/>
        <w:ind w:left="858" w:right="48"/>
      </w:pPr>
      <w:r>
        <w:t>1.5 WARRANTY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A83420" w14:textId="77777777" w:rsidR="00EF765B" w:rsidRDefault="00044C30">
      <w:pPr>
        <w:ind w:left="1447" w:right="48" w:hanging="199"/>
      </w:pPr>
      <w:r>
        <w:t>A. Submit a written warranty executed by the manufacturer, agreeing to repair or replace components of the unit that fail in materials and workmanship within the specified warranty period.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E47D2C" w14:textId="77777777" w:rsidR="00EF765B" w:rsidRDefault="00044C30">
      <w:pPr>
        <w:numPr>
          <w:ilvl w:val="1"/>
          <w:numId w:val="4"/>
        </w:numPr>
        <w:ind w:right="48" w:hanging="199"/>
      </w:pPr>
      <w:r>
        <w:t xml:space="preserve">Fan Motor/Drive System: Warranty Period shall be Five (5) years from date of unit shipment from Factory (fan motor(s), fan(s), bearings, mechanical support, sheaves, </w:t>
      </w:r>
      <w:proofErr w:type="gramStart"/>
      <w:r>
        <w:t>bushings</w:t>
      </w:r>
      <w:proofErr w:type="gramEnd"/>
      <w:r>
        <w:t xml:space="preserve"> and belt(s)).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A3011C" w14:textId="77777777" w:rsidR="00EF765B" w:rsidRDefault="00044C30">
      <w:pPr>
        <w:numPr>
          <w:ilvl w:val="1"/>
          <w:numId w:val="4"/>
        </w:numPr>
        <w:ind w:right="48" w:hanging="199"/>
      </w:pPr>
      <w:r>
        <w:t xml:space="preserve">The Entire Unit shall have a comprehensive one (1) year warranty against defects in materials and workmanship from startup, not to exceed eighteen (18) </w:t>
      </w:r>
      <w:proofErr w:type="gramStart"/>
      <w:r>
        <w:t>month</w:t>
      </w:r>
      <w:proofErr w:type="gramEnd"/>
      <w:r>
        <w:t xml:space="preserve"> from shipment of the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6E8064" w14:textId="77777777" w:rsidR="00EF765B" w:rsidRDefault="00044C30">
      <w:pPr>
        <w:numPr>
          <w:ilvl w:val="1"/>
          <w:numId w:val="4"/>
        </w:numPr>
        <w:ind w:right="48" w:hanging="199"/>
      </w:pPr>
      <w:r>
        <w:t>Heat Transfer Coil: Warranty Period shall be One (1) year from date of unit shipment from Factory.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40417E" w14:textId="77777777" w:rsidR="00EF765B" w:rsidRDefault="00044C30">
      <w:pPr>
        <w:ind w:left="458" w:right="48"/>
      </w:pPr>
      <w:r>
        <w:t>PART 2 - PRODUCTS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1D24FC" w14:textId="77777777" w:rsidR="00EF765B" w:rsidRDefault="00044C30">
      <w:pPr>
        <w:spacing w:after="63"/>
        <w:ind w:left="858" w:right="48"/>
      </w:pPr>
      <w:r>
        <w:t>2.1 MANUFACTURERS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20C9D0" w14:textId="77777777" w:rsidR="00EF765B" w:rsidRDefault="00044C30">
      <w:pPr>
        <w:ind w:left="1447" w:right="48" w:hanging="199"/>
      </w:pPr>
      <w:r>
        <w:t>A. Manufacturers: Subject to compliance with requirements, provide evaporative condensers manufactured by one of the following: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EB217B" w14:textId="77777777" w:rsidR="00EF765B" w:rsidRDefault="00044C30">
      <w:pPr>
        <w:numPr>
          <w:ilvl w:val="1"/>
          <w:numId w:val="5"/>
        </w:numPr>
        <w:ind w:right="48" w:hanging="200"/>
      </w:pPr>
      <w:r>
        <w:t>EVAPCO Model 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703B43" w14:textId="77777777" w:rsidR="00EF765B" w:rsidRDefault="00044C30">
      <w:pPr>
        <w:numPr>
          <w:ilvl w:val="1"/>
          <w:numId w:val="5"/>
        </w:numPr>
        <w:ind w:right="48" w:hanging="200"/>
      </w:pPr>
      <w:r>
        <w:lastRenderedPageBreak/>
        <w:t>Approved Substitute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9E2911" w14:textId="77777777" w:rsidR="00EF765B" w:rsidRDefault="00044C30">
      <w:pPr>
        <w:spacing w:after="62"/>
        <w:ind w:left="858" w:right="48"/>
      </w:pPr>
      <w:r>
        <w:t>2.2 THERMAL PERFORMANCE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9A6610" w14:textId="77777777" w:rsidR="00EF765B" w:rsidRDefault="00044C30">
      <w:pPr>
        <w:ind w:left="1447" w:right="48" w:hanging="199"/>
      </w:pPr>
      <w:r>
        <w:t>A. Each unit shall be capable of ___________ (MBH) at _______° F Condensing and a design wet bulb of _______° F.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4A5B70" w14:textId="77777777" w:rsidR="00EF765B" w:rsidRDefault="00044C30">
      <w:pPr>
        <w:spacing w:after="62"/>
        <w:ind w:left="858" w:right="48"/>
      </w:pPr>
      <w:r>
        <w:t>2.3 IBC COMPLIANCE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9A2B99E" w14:textId="77777777" w:rsidR="00EF765B" w:rsidRDefault="00044C30">
      <w:pPr>
        <w:ind w:left="1447" w:right="48" w:hanging="199"/>
      </w:pPr>
      <w:r>
        <w:t>A. The unit structure shall be designed, analyzed, and constructed in accordance with the latest edition of International Building Code (IBC) for: I</w:t>
      </w:r>
      <w:r>
        <w:rPr>
          <w:sz w:val="15"/>
        </w:rPr>
        <w:t>P</w:t>
      </w:r>
      <w:r>
        <w:t xml:space="preserve"> = ____, S</w:t>
      </w:r>
      <w:r>
        <w:rPr>
          <w:sz w:val="15"/>
        </w:rPr>
        <w:t>DS</w:t>
      </w:r>
      <w:r>
        <w:t xml:space="preserve"> = ____, P = _______ psf.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B7CBBF" w14:textId="77777777" w:rsidR="00EF765B" w:rsidRDefault="00044C30">
      <w:pPr>
        <w:spacing w:after="63"/>
        <w:ind w:left="858" w:right="48"/>
      </w:pPr>
      <w:r>
        <w:t>2.4 COMPONENTS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10470F" w14:textId="739C0A74" w:rsidR="00EF765B" w:rsidRDefault="00044C30">
      <w:pPr>
        <w:spacing w:after="57"/>
        <w:ind w:left="1258" w:right="458"/>
      </w:pPr>
      <w:r>
        <w:t xml:space="preserve">A. Description: Factory assembled and tested, induced draft counter flow evaporative condenser complete with fan, fill, </w:t>
      </w:r>
      <w:r w:rsidR="004F161C">
        <w:t>coil,</w:t>
      </w:r>
      <w:r>
        <w:t xml:space="preserve"> accessories and rigging supports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B. Fan(s):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830123" w14:textId="77777777" w:rsidR="00EF765B" w:rsidRDefault="00044C30">
      <w:pPr>
        <w:ind w:left="1832" w:right="48" w:hanging="199"/>
      </w:pPr>
      <w:r>
        <w:t>1. Fan(s) shall be high efficiency axial propeller type with aluminum wide chord blade construction. Each fan shall be dynamically balanced and installed in a closely fitted cowl with venturi air inlet for maximum fan efficiency.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CF6AC4" w14:textId="77777777" w:rsidR="00EF765B" w:rsidRDefault="00044C30">
      <w:pPr>
        <w:numPr>
          <w:ilvl w:val="0"/>
          <w:numId w:val="6"/>
        </w:numPr>
        <w:spacing w:after="62"/>
        <w:ind w:right="48" w:hanging="230"/>
      </w:pPr>
      <w:r>
        <w:t>Drift Eliminators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F3FACE1" w14:textId="4039ED15" w:rsidR="00EF765B" w:rsidRDefault="00044C30">
      <w:pPr>
        <w:ind w:left="1832" w:right="48" w:hanging="199"/>
      </w:pPr>
      <w:r>
        <w:t>1</w:t>
      </w:r>
      <w:r w:rsidR="004F161C" w:rsidRPr="004F161C">
        <w:t>.</w:t>
      </w:r>
      <w:r w:rsidR="004F161C" w:rsidRPr="004F161C">
        <w:tab/>
        <w:t xml:space="preserve">Drift eliminators shall be constructed entirely of Polyvinyl Chloride (PVC) in easily handled sections. Design shall incorporate three changes in air direction and limit the water carryover to a maximum of 0.001% of the recirculating water rate. Drift eliminators shall be self-extinguishing, have a flame spread of less than 25 under ASTM E84, and shall be resistant to rot, </w:t>
      </w:r>
      <w:proofErr w:type="gramStart"/>
      <w:r w:rsidR="004F161C" w:rsidRPr="004F161C">
        <w:t>decay</w:t>
      </w:r>
      <w:proofErr w:type="gramEnd"/>
      <w:r w:rsidR="004F161C" w:rsidRPr="004F161C">
        <w:t xml:space="preserve"> and biological attack.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D81F1C" w14:textId="77777777" w:rsidR="00EF765B" w:rsidRDefault="00044C30">
      <w:pPr>
        <w:numPr>
          <w:ilvl w:val="0"/>
          <w:numId w:val="6"/>
        </w:numPr>
        <w:spacing w:after="63"/>
        <w:ind w:right="48" w:hanging="230"/>
      </w:pPr>
      <w:r>
        <w:t>Heat Transfer Media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2BF35D" w14:textId="5213A0AE" w:rsidR="004F161C" w:rsidRDefault="00044C30" w:rsidP="004F161C">
      <w:pPr>
        <w:ind w:left="1832" w:right="48" w:hanging="199"/>
      </w:pPr>
      <w:r>
        <w:t>1</w:t>
      </w:r>
      <w:r w:rsidR="004F161C">
        <w:t>.</w:t>
      </w:r>
      <w:r w:rsidR="004F161C">
        <w:tab/>
        <w:t xml:space="preserve">Heat transfer coil shall be heavy wall tubes of prime surface steel, encased in steel framework with entire assembly hot-dip galvanized after fabrication. The coil assembly shall be designed with sloping tubes for liquid drainage. Coil shall have design pressure of 300 psi and shall </w:t>
      </w:r>
      <w:proofErr w:type="gramStart"/>
      <w:r w:rsidR="004F161C">
        <w:t>be in compliance with</w:t>
      </w:r>
      <w:proofErr w:type="gramEnd"/>
      <w:r w:rsidR="004F161C">
        <w:t xml:space="preserve"> ASME/ANSI B31.5, Refrigeration Piping and Heat Transfer Components. The coil assembly shall be strength tested in accordance with ASME/ANSI B31.5 and subsequently leak tested using air under water.</w:t>
      </w:r>
    </w:p>
    <w:p w14:paraId="6324230E" w14:textId="77777777" w:rsidR="004F161C" w:rsidRDefault="004F161C" w:rsidP="004F161C">
      <w:pPr>
        <w:ind w:left="1832" w:right="48" w:hanging="199"/>
      </w:pPr>
      <w:r>
        <w:t>2.</w:t>
      </w:r>
      <w:r>
        <w:tab/>
        <w:t>The heat transfer coil shall be evacuated and charged with low pressure nitrogen prior to shipment.</w:t>
      </w:r>
    </w:p>
    <w:p w14:paraId="762E5A2C" w14:textId="0F3F8E02" w:rsidR="00EF765B" w:rsidRDefault="004F161C" w:rsidP="004F161C">
      <w:pPr>
        <w:ind w:left="1832" w:right="48" w:hanging="199"/>
      </w:pPr>
      <w:r>
        <w:t>3.</w:t>
      </w:r>
      <w:r>
        <w:tab/>
        <w:t>Fill media and integral drift eliminators shall be constructed of Polyvinyl Chloride</w:t>
      </w:r>
      <w:r>
        <w:t xml:space="preserve"> </w:t>
      </w:r>
      <w:r>
        <w:t xml:space="preserve">(PVC) and suitable for inlet water temperatures up to 120° F. The bonded block fill and integral drift eliminators shall be bottom supported to prevent sag and allow for at least a 3" space between the bottom of the fill and the pan bottom to facilitate cleaning. Fill and integral drift eliminators shall be self-extinguishing, have a flame spread of less than 25 under ASTM E84, and shall be resistant to rot, </w:t>
      </w:r>
      <w:proofErr w:type="gramStart"/>
      <w:r>
        <w:t>decay</w:t>
      </w:r>
      <w:proofErr w:type="gramEnd"/>
      <w:r>
        <w:t xml:space="preserve"> and biological attack</w:t>
      </w:r>
      <w:r w:rsidR="00044C30">
        <w:t>.</w:t>
      </w:r>
      <w:r w:rsidR="00044C30">
        <w:rPr>
          <w:rFonts w:ascii="Times New Roman" w:eastAsia="Times New Roman" w:hAnsi="Times New Roman" w:cs="Times New Roman"/>
          <w:sz w:val="20"/>
        </w:rPr>
        <w:t xml:space="preserve"> </w:t>
      </w:r>
    </w:p>
    <w:p w14:paraId="6B46447D" w14:textId="77777777" w:rsidR="00EF765B" w:rsidRDefault="00044C30">
      <w:pPr>
        <w:numPr>
          <w:ilvl w:val="0"/>
          <w:numId w:val="6"/>
        </w:numPr>
        <w:ind w:right="48" w:hanging="230"/>
      </w:pPr>
      <w:r>
        <w:t>Make up Float Valve Assembly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BE6F04" w14:textId="77777777" w:rsidR="00EF765B" w:rsidRDefault="00044C30">
      <w:pPr>
        <w:ind w:left="1643" w:right="48"/>
      </w:pPr>
      <w:r>
        <w:t>1. Make up float assembly shall be a mechanical brass valve with an adjustable plastic float.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1B5ACD2" w14:textId="77777777" w:rsidR="00EF765B" w:rsidRDefault="00044C30">
      <w:pPr>
        <w:numPr>
          <w:ilvl w:val="0"/>
          <w:numId w:val="6"/>
        </w:numPr>
        <w:spacing w:after="63"/>
        <w:ind w:right="48" w:hanging="230"/>
      </w:pPr>
      <w:r>
        <w:t>Pan Strainer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B3A8E4" w14:textId="77777777" w:rsidR="00EF765B" w:rsidRDefault="00044C30">
      <w:pPr>
        <w:ind w:left="1832" w:right="48" w:hanging="199"/>
      </w:pPr>
      <w:r>
        <w:t>1. Pan Strainer(s) shall be all Type 304 Stainless Steel construction with large area removable perforated screens.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6310EF" w14:textId="77777777" w:rsidR="00EF765B" w:rsidRDefault="00044C30">
      <w:pPr>
        <w:ind w:left="858" w:right="48"/>
      </w:pPr>
      <w:r>
        <w:t>2.5 MOTORS AND DRIVES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8D786A" w14:textId="77777777" w:rsidR="00EF765B" w:rsidRDefault="00044C30">
      <w:pPr>
        <w:numPr>
          <w:ilvl w:val="0"/>
          <w:numId w:val="7"/>
        </w:numPr>
        <w:ind w:right="48" w:hanging="221"/>
      </w:pPr>
      <w:r>
        <w:t>General requirements for motors are specified in Division 23 Section “</w:t>
      </w:r>
      <w:proofErr w:type="gramStart"/>
      <w:r>
        <w:t>Motors</w:t>
      </w:r>
      <w:proofErr w:type="gramEnd"/>
      <w:r>
        <w:t>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516150" w14:textId="77777777" w:rsidR="00EF765B" w:rsidRDefault="00044C30">
      <w:pPr>
        <w:numPr>
          <w:ilvl w:val="0"/>
          <w:numId w:val="7"/>
        </w:numPr>
        <w:spacing w:after="63"/>
        <w:ind w:right="48" w:hanging="221"/>
      </w:pPr>
      <w:r>
        <w:t>Fan Motor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0EF5A2" w14:textId="77777777" w:rsidR="00EF765B" w:rsidRDefault="00044C30">
      <w:pPr>
        <w:numPr>
          <w:ilvl w:val="1"/>
          <w:numId w:val="7"/>
        </w:numPr>
        <w:ind w:left="1639" w:right="128" w:hanging="199"/>
      </w:pPr>
      <w:r>
        <w:t>Fan motor(s) shall be totally enclosed, ball bearing type electric motor(s) suitable for moist air service. Motor(s) are Premium Efficient, Class F insulated, 1.15 service factor design. Inverter rated per NEMA MG1 Part 31.4.4.2 and suitable for variable torque applications and constant torque speed range with properly sized and adjusted variable frequency drives.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60B52C3" w14:textId="77777777" w:rsidR="00611B33" w:rsidRPr="00611B33" w:rsidRDefault="00044C30">
      <w:pPr>
        <w:numPr>
          <w:ilvl w:val="1"/>
          <w:numId w:val="7"/>
        </w:numPr>
        <w:spacing w:after="58"/>
        <w:ind w:left="1639" w:right="128" w:hanging="199"/>
      </w:pPr>
      <w:r>
        <w:t>Fan motor(s) shall include strip-type space heaters with separate leads brought to the motor conduit box.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F20AD6" w14:textId="61136D53" w:rsidR="00EF765B" w:rsidRDefault="00611B33" w:rsidP="00611B33">
      <w:pPr>
        <w:spacing w:after="58"/>
        <w:ind w:left="730" w:right="128" w:firstLine="0"/>
      </w:pPr>
      <w:r>
        <w:rPr>
          <w:rFonts w:ascii="Times New Roman" w:eastAsia="Times New Roman" w:hAnsi="Times New Roman" w:cs="Times New Roman"/>
          <w:sz w:val="20"/>
        </w:rPr>
        <w:t xml:space="preserve">           </w:t>
      </w:r>
      <w:r w:rsidR="00044C30">
        <w:t>C. Fan Shaft</w:t>
      </w:r>
      <w:r w:rsidR="00044C30">
        <w:rPr>
          <w:rFonts w:ascii="Times New Roman" w:eastAsia="Times New Roman" w:hAnsi="Times New Roman" w:cs="Times New Roman"/>
          <w:sz w:val="20"/>
        </w:rPr>
        <w:t xml:space="preserve"> </w:t>
      </w:r>
    </w:p>
    <w:p w14:paraId="7A969C6A" w14:textId="77777777" w:rsidR="00EF765B" w:rsidRDefault="00044C30">
      <w:pPr>
        <w:ind w:left="1832" w:right="48" w:hanging="199"/>
      </w:pPr>
      <w:r>
        <w:lastRenderedPageBreak/>
        <w:t xml:space="preserve">1. Fan shaft shall be solid, </w:t>
      </w:r>
      <w:proofErr w:type="gramStart"/>
      <w:r>
        <w:t>ground</w:t>
      </w:r>
      <w:proofErr w:type="gramEnd"/>
      <w:r>
        <w:t xml:space="preserve"> and polished steel. Exposed surface shall be coated with rust preventative.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EFB8531" w14:textId="77777777" w:rsidR="00EF765B" w:rsidRDefault="00044C30">
      <w:pPr>
        <w:spacing w:after="63"/>
        <w:ind w:left="1258" w:right="48"/>
      </w:pPr>
      <w:r>
        <w:t>D. Fan Shaft Bearings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319E37" w14:textId="77777777" w:rsidR="00EF765B" w:rsidRDefault="00044C30">
      <w:pPr>
        <w:ind w:left="1832" w:right="48" w:hanging="199"/>
      </w:pPr>
      <w:r>
        <w:t>1. Fan Shaft Bearings shall be heavy-duty, self-aligning ball type bearings with extended lubrication lines to grease fittings located on access door frame. Bearings shall be designed for a minimum L-10 life of 100,000 hours.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48F6FBC" w14:textId="77777777" w:rsidR="00EF765B" w:rsidRDefault="00044C30">
      <w:pPr>
        <w:spacing w:after="9"/>
        <w:ind w:left="858" w:right="48"/>
      </w:pPr>
      <w:r>
        <w:t>2.6 MAINTENANCE ACCESS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BE4B46" w14:textId="77777777" w:rsidR="00EF765B" w:rsidRDefault="00044C3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685A9D4F" w14:textId="77777777" w:rsidR="00EF765B" w:rsidRDefault="00044C30">
      <w:pPr>
        <w:spacing w:after="2382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14:paraId="7751DA94" w14:textId="77777777" w:rsidR="00EF765B" w:rsidRDefault="00044C3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EF765B">
      <w:footerReference w:type="even" r:id="rId7"/>
      <w:footerReference w:type="default" r:id="rId8"/>
      <w:footerReference w:type="first" r:id="rId9"/>
      <w:pgSz w:w="12240" w:h="15840"/>
      <w:pgMar w:top="1438" w:right="2155" w:bottom="175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D6373" w14:textId="77777777" w:rsidR="00044C30" w:rsidRDefault="00044C30">
      <w:pPr>
        <w:spacing w:after="0" w:line="240" w:lineRule="auto"/>
      </w:pPr>
      <w:r>
        <w:separator/>
      </w:r>
    </w:p>
  </w:endnote>
  <w:endnote w:type="continuationSeparator" w:id="0">
    <w:p w14:paraId="57E5C220" w14:textId="77777777" w:rsidR="00044C30" w:rsidRDefault="0004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5BD6" w14:textId="77777777" w:rsidR="00EF765B" w:rsidRDefault="00044C30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859036C" w14:textId="77777777" w:rsidR="00EF765B" w:rsidRDefault="00044C30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FBD6" w14:textId="77777777" w:rsidR="00EF765B" w:rsidRDefault="00044C30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 w:rsidR="001B0156" w:rsidRPr="001B0156">
      <w:rPr>
        <w:noProof/>
        <w:sz w:val="20"/>
      </w:rPr>
      <w:t>2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BF0EA54" w14:textId="77777777" w:rsidR="00EF765B" w:rsidRDefault="00044C30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0B47" w14:textId="77777777" w:rsidR="00EF765B" w:rsidRDefault="00044C30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777C65ED" w14:textId="77777777" w:rsidR="00EF765B" w:rsidRDefault="00044C30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5BC6" w14:textId="77777777" w:rsidR="00044C30" w:rsidRDefault="00044C30">
      <w:pPr>
        <w:spacing w:after="0" w:line="240" w:lineRule="auto"/>
      </w:pPr>
      <w:r>
        <w:separator/>
      </w:r>
    </w:p>
  </w:footnote>
  <w:footnote w:type="continuationSeparator" w:id="0">
    <w:p w14:paraId="16F0B497" w14:textId="77777777" w:rsidR="00044C30" w:rsidRDefault="00044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274B"/>
    <w:multiLevelType w:val="hybridMultilevel"/>
    <w:tmpl w:val="3EB8896E"/>
    <w:lvl w:ilvl="0" w:tplc="E04C555A">
      <w:start w:val="3"/>
      <w:numFmt w:val="upperLetter"/>
      <w:lvlText w:val="%1.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D2C662">
      <w:start w:val="1"/>
      <w:numFmt w:val="lowerLetter"/>
      <w:lvlText w:val="%2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58C01E">
      <w:start w:val="1"/>
      <w:numFmt w:val="lowerRoman"/>
      <w:lvlText w:val="%3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CC4C8E">
      <w:start w:val="1"/>
      <w:numFmt w:val="decimal"/>
      <w:lvlText w:val="%4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30F0F6">
      <w:start w:val="1"/>
      <w:numFmt w:val="lowerLetter"/>
      <w:lvlText w:val="%5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02C6C8">
      <w:start w:val="1"/>
      <w:numFmt w:val="lowerRoman"/>
      <w:lvlText w:val="%6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EC94BC">
      <w:start w:val="1"/>
      <w:numFmt w:val="decimal"/>
      <w:lvlText w:val="%7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8250D6">
      <w:start w:val="1"/>
      <w:numFmt w:val="lowerLetter"/>
      <w:lvlText w:val="%8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C487CA">
      <w:start w:val="1"/>
      <w:numFmt w:val="lowerRoman"/>
      <w:lvlText w:val="%9"/>
      <w:lvlJc w:val="left"/>
      <w:pPr>
        <w:ind w:left="7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7E2AD6"/>
    <w:multiLevelType w:val="hybridMultilevel"/>
    <w:tmpl w:val="FED03FC4"/>
    <w:lvl w:ilvl="0" w:tplc="C78E3FD0">
      <w:start w:val="1"/>
      <w:numFmt w:val="upperLetter"/>
      <w:lvlText w:val="%1.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286996">
      <w:start w:val="1"/>
      <w:numFmt w:val="lowerLetter"/>
      <w:lvlText w:val="%2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683436">
      <w:start w:val="1"/>
      <w:numFmt w:val="lowerRoman"/>
      <w:lvlText w:val="%3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42A658">
      <w:start w:val="1"/>
      <w:numFmt w:val="decimal"/>
      <w:lvlText w:val="%4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EEC042">
      <w:start w:val="1"/>
      <w:numFmt w:val="lowerLetter"/>
      <w:lvlText w:val="%5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A419FC">
      <w:start w:val="1"/>
      <w:numFmt w:val="lowerRoman"/>
      <w:lvlText w:val="%6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6696B6">
      <w:start w:val="1"/>
      <w:numFmt w:val="decimal"/>
      <w:lvlText w:val="%7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4E0E6A">
      <w:start w:val="1"/>
      <w:numFmt w:val="lowerLetter"/>
      <w:lvlText w:val="%8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466074">
      <w:start w:val="1"/>
      <w:numFmt w:val="lowerRoman"/>
      <w:lvlText w:val="%9"/>
      <w:lvlJc w:val="left"/>
      <w:pPr>
        <w:ind w:left="7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AB58A6"/>
    <w:multiLevelType w:val="hybridMultilevel"/>
    <w:tmpl w:val="4C248960"/>
    <w:lvl w:ilvl="0" w:tplc="911C7FF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5A84F2">
      <w:start w:val="1"/>
      <w:numFmt w:val="decimal"/>
      <w:lvlRestart w:val="0"/>
      <w:lvlText w:val="%2.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783DC4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A65598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14C386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50544C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DE7018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A88D3C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3C1B4C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8A5736"/>
    <w:multiLevelType w:val="hybridMultilevel"/>
    <w:tmpl w:val="F6E07886"/>
    <w:lvl w:ilvl="0" w:tplc="30129F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C29BD2">
      <w:start w:val="1"/>
      <w:numFmt w:val="decimal"/>
      <w:lvlRestart w:val="0"/>
      <w:lvlText w:val="%2.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6218CC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808988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165D4E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F649DC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B40F50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10AF44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98FA2A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EE1BAB"/>
    <w:multiLevelType w:val="hybridMultilevel"/>
    <w:tmpl w:val="42867502"/>
    <w:lvl w:ilvl="0" w:tplc="70BC365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288182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76C4B2">
      <w:start w:val="1"/>
      <w:numFmt w:val="decimal"/>
      <w:lvlRestart w:val="0"/>
      <w:lvlText w:val="%3.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EED44A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98BED4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9EB1E0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60CAA0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C2870E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1249B0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06713C"/>
    <w:multiLevelType w:val="hybridMultilevel"/>
    <w:tmpl w:val="A610563A"/>
    <w:lvl w:ilvl="0" w:tplc="6F14E85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6C6E4">
      <w:start w:val="1"/>
      <w:numFmt w:val="decimal"/>
      <w:lvlRestart w:val="0"/>
      <w:lvlText w:val="%2.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E46630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A2CFEE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D6A334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3E3278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742A90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B8D230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B0E9FC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2D79D4"/>
    <w:multiLevelType w:val="hybridMultilevel"/>
    <w:tmpl w:val="16A2ADAC"/>
    <w:lvl w:ilvl="0" w:tplc="5044BF06">
      <w:start w:val="1"/>
      <w:numFmt w:val="upperLetter"/>
      <w:lvlText w:val="%1.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DACB16">
      <w:start w:val="1"/>
      <w:numFmt w:val="decimal"/>
      <w:lvlText w:val="%2.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2E5FE4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F21782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F69774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32AD90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2A2650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F2A77E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52F20E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65B"/>
    <w:rsid w:val="00044C30"/>
    <w:rsid w:val="001B0156"/>
    <w:rsid w:val="004F161C"/>
    <w:rsid w:val="00611B33"/>
    <w:rsid w:val="00E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9DE9"/>
  <w15:docId w15:val="{7BA4E922-B4D6-4C0F-934A-FDD7E25A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6" w:line="248" w:lineRule="auto"/>
      <w:ind w:left="10" w:right="339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7"/>
      <w:ind w:right="3390"/>
      <w:jc w:val="right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Tylor Eltz</dc:creator>
  <cp:keywords/>
  <cp:lastModifiedBy>Jim Nesbitt</cp:lastModifiedBy>
  <cp:revision>2</cp:revision>
  <dcterms:created xsi:type="dcterms:W3CDTF">2021-06-07T18:23:00Z</dcterms:created>
  <dcterms:modified xsi:type="dcterms:W3CDTF">2021-06-07T18:23:00Z</dcterms:modified>
</cp:coreProperties>
</file>